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E1546" w14:textId="4F13F71E" w:rsidR="00B00FD0" w:rsidRDefault="00B00FD0" w:rsidP="00B00FD0">
      <w:pPr>
        <w:pStyle w:val="NormalWeb"/>
      </w:pPr>
      <w:r>
        <w:rPr>
          <w:rStyle w:val="lev"/>
        </w:rPr>
        <w:t>Le Conseil d’Etat suit les Fédérations de Moulins contre le Ministère de la Transition Énergétique et Solidaire!</w:t>
      </w:r>
      <w:r>
        <w:br/>
      </w:r>
      <w:r>
        <w:br/>
      </w:r>
      <w:r>
        <w:rPr>
          <w:rStyle w:val="Accentuation"/>
        </w:rPr>
        <w:t xml:space="preserve">Par décision rendue ce jour sur une requête introduite </w:t>
      </w:r>
      <w:r>
        <w:rPr>
          <w:rStyle w:val="Accentuation"/>
        </w:rPr>
        <w:t xml:space="preserve">par </w:t>
      </w:r>
      <w:r>
        <w:rPr>
          <w:rStyle w:val="Accentuation"/>
        </w:rPr>
        <w:t xml:space="preserve">notre avocat pour le compte notamment de France Hydro Electricité, de la Fédération Française des Associations de Sauvegarde des Moulins – FFAM, de la </w:t>
      </w:r>
      <w:r w:rsidRPr="00B00FD0">
        <w:rPr>
          <w:rStyle w:val="Accentuation"/>
        </w:rPr>
        <w:t>Fédération des Moulins des France – FDMF</w:t>
      </w:r>
      <w:r>
        <w:rPr>
          <w:rStyle w:val="Accentuation"/>
        </w:rPr>
        <w:t>, de l’Association des Riverains de France – ARF et d’</w:t>
      </w:r>
      <w:proofErr w:type="spellStart"/>
      <w:r>
        <w:rPr>
          <w:rStyle w:val="Accentuation"/>
        </w:rPr>
        <w:t>Hydrauxois</w:t>
      </w:r>
      <w:proofErr w:type="spellEnd"/>
      <w:r>
        <w:rPr>
          <w:rStyle w:val="Accentuation"/>
        </w:rPr>
        <w:t>, le Conseil d’Etat vient d’annuler l’article 1er du décret ministériel du 3 août 2019, qui avait durci la définition de l’obstacle à la continuité écologique prévue à l’article R 214-109 du Code de l’environnement.</w:t>
      </w:r>
      <w:r>
        <w:br/>
      </w:r>
    </w:p>
    <w:p w14:paraId="4B02ECBB" w14:textId="77777777" w:rsidR="00B00FD0" w:rsidRDefault="00B00FD0" w:rsidP="00B00FD0">
      <w:pPr>
        <w:pStyle w:val="NormalWeb"/>
      </w:pPr>
      <w:r>
        <w:rPr>
          <w:rStyle w:val="Accentuation"/>
        </w:rPr>
        <w:t>Pour mémoire, à compter de la date d’entrée en vigueur de ce décret porté par la Direction de l’Eau et de la Biodiversité/Ministère de la Transition Ecologique et Solidaire, étaient notamment considérés comme un obstacle à la continuité écologique, dont la construction est interdite sur un cours d’eau classée en Liste 1 au titre de l’article L 214-17 du Code de l’environnement :</w:t>
      </w:r>
    </w:p>
    <w:p w14:paraId="4A4094A7" w14:textId="77777777" w:rsidR="00B00FD0" w:rsidRDefault="00B00FD0" w:rsidP="00B00FD0">
      <w:pPr>
        <w:pStyle w:val="NormalWeb"/>
      </w:pPr>
      <w:r>
        <w:rPr>
          <w:rStyle w:val="Accentuation"/>
        </w:rPr>
        <w:t> -Tout ouvrage en lit mineur d’un cours d’eau d’une hauteur supérieure à 50 cm, qu’il barre ou non l’ensemble de la largeur du cours d’eau, à la seule exception des ouvrages à construire pour la sécurisation des terrains de montagne pour lesquels il n’existe pas d’alternative,</w:t>
      </w:r>
    </w:p>
    <w:p w14:paraId="2A93B8E4" w14:textId="77777777" w:rsidR="00B00FD0" w:rsidRDefault="00B00FD0" w:rsidP="00B00FD0">
      <w:pPr>
        <w:pStyle w:val="NormalWeb"/>
      </w:pPr>
      <w:r>
        <w:rPr>
          <w:rStyle w:val="Accentuation"/>
        </w:rPr>
        <w:t>-Tout ouvrage de prise d’eau ne restituant à l’aval que le débit réservé ou débit minimum biologique une majeure partie de l’année,</w:t>
      </w:r>
    </w:p>
    <w:p w14:paraId="0028BDBA" w14:textId="77777777" w:rsidR="00B00FD0" w:rsidRDefault="00B00FD0" w:rsidP="00B00FD0">
      <w:pPr>
        <w:pStyle w:val="NormalWeb"/>
      </w:pPr>
      <w:r>
        <w:rPr>
          <w:rStyle w:val="Accentuation"/>
        </w:rPr>
        <w:t> -Toute remise en état d’un barrage de prise d’eau fondé en titre notamment, dont l’état actuel pouvait être considéré comme ne faisant plus obstacle à la continuité écologique.</w:t>
      </w:r>
    </w:p>
    <w:p w14:paraId="36033335" w14:textId="77777777" w:rsidR="00B00FD0" w:rsidRDefault="00B00FD0" w:rsidP="00B00FD0">
      <w:pPr>
        <w:pStyle w:val="NormalWeb"/>
      </w:pPr>
      <w:r>
        <w:rPr>
          <w:rStyle w:val="Accentuation"/>
        </w:rPr>
        <w:t> Ce décret condamnait une part majeure du potentiel de développement de l’énergie hydraulique en sites nouveaux et en rénovation sur des sites existants, dont une grande part est située sur les cours d’eau classés en Liste 1, et par ailleurs condamnait un nombre conséquent de moulins anciens à une démolition « naturelle » et inéluctable de leurs ouvrages dont la remise en état était interdite.</w:t>
      </w:r>
    </w:p>
    <w:p w14:paraId="33D0394B" w14:textId="77777777" w:rsidR="00B00FD0" w:rsidRDefault="00B00FD0" w:rsidP="00B00FD0">
      <w:pPr>
        <w:pStyle w:val="NormalWeb"/>
      </w:pPr>
      <w:r>
        <w:rPr>
          <w:rStyle w:val="Accentuation"/>
        </w:rPr>
        <w:t>  Conformément à ce que nous avions soutenu en requête, le Conseil d’Etat a notamment retenu que le Gouvernement ne pouvait valablement considérer :</w:t>
      </w:r>
    </w:p>
    <w:p w14:paraId="5632CD95" w14:textId="77777777" w:rsidR="00B00FD0" w:rsidRDefault="00B00FD0" w:rsidP="00B00FD0">
      <w:pPr>
        <w:pStyle w:val="NormalWeb"/>
      </w:pPr>
      <w:r>
        <w:rPr>
          <w:rStyle w:val="Accentuation"/>
        </w:rPr>
        <w:t> </w:t>
      </w:r>
    </w:p>
    <w:p w14:paraId="7605B713" w14:textId="77777777" w:rsidR="00B00FD0" w:rsidRDefault="00B00FD0" w:rsidP="00B00FD0">
      <w:pPr>
        <w:pStyle w:val="NormalWeb"/>
      </w:pPr>
      <w:r>
        <w:rPr>
          <w:rStyle w:val="Accentuation"/>
        </w:rPr>
        <w:t>-Qu’un ouvrage en lit mineur présentant une hauteur de 50 cm au moins est nécessairement un obstacle à la continuité écologique au sens de l’article L 214-17 du Code de l’environnement.</w:t>
      </w:r>
    </w:p>
    <w:p w14:paraId="544D4DF6" w14:textId="77777777" w:rsidR="00B00FD0" w:rsidRDefault="00B00FD0" w:rsidP="00B00FD0">
      <w:pPr>
        <w:pStyle w:val="NormalWeb"/>
      </w:pPr>
      <w:r>
        <w:rPr>
          <w:rStyle w:val="Accentuation"/>
        </w:rPr>
        <w:t>Rappelant ses décisions adoptées au titre des deux précédentes tentatives de définition restrictive de la continuité écologique réalisées par circulaires ministérielles partiellement annulées de 2010 et 2013, le Conseil d’Etat confirme qu’un tel critère absolu ne peut légalement être retenu, la loi ainsi que les débats parlementaires prévoyant que le critère d’obstacle à la continuité écologique doit être apprécié au cas par cas.</w:t>
      </w:r>
    </w:p>
    <w:p w14:paraId="34B4AC29" w14:textId="77777777" w:rsidR="00B00FD0" w:rsidRDefault="00B00FD0" w:rsidP="00B00FD0">
      <w:pPr>
        <w:pStyle w:val="NormalWeb"/>
      </w:pPr>
      <w:r>
        <w:rPr>
          <w:rStyle w:val="Accentuation"/>
        </w:rPr>
        <w:lastRenderedPageBreak/>
        <w:t>A ce titre, la méconnaissance par la Direction de l’Eau et de la Biodiversité de la loi, de la volonté du législateur et enfin de la jurisprudence du Conseil d’Etat est sanctionnée.</w:t>
      </w:r>
    </w:p>
    <w:p w14:paraId="123D79EA" w14:textId="77777777" w:rsidR="00B00FD0" w:rsidRDefault="00B00FD0" w:rsidP="00B00FD0">
      <w:pPr>
        <w:pStyle w:val="NormalWeb"/>
      </w:pPr>
      <w:r>
        <w:rPr>
          <w:rStyle w:val="Accentuation"/>
        </w:rPr>
        <w:t> -Que la restitution à l’aval d’un ouvrage de prise d’eau du seul débit réservé ou débit minimum biologique serait nécessairement un obstacle à la continuité écologique, dans la mesure où – précisément – le débit minimum biologique prévu à l’article L 214-18 du Code de l’environnement a pour objet de permettre de garantir la vie, la circulation et la reproduction du poisson.</w:t>
      </w:r>
    </w:p>
    <w:p w14:paraId="5B7AB164" w14:textId="77777777" w:rsidR="00B00FD0" w:rsidRDefault="00B00FD0" w:rsidP="00B00FD0">
      <w:pPr>
        <w:pStyle w:val="NormalWeb"/>
      </w:pPr>
      <w:r>
        <w:rPr>
          <w:rStyle w:val="Accentuation"/>
        </w:rPr>
        <w:t>A ce titre, la méconnaissance de la loi par la Direction de l’Eau et de la Biodiversité est également sanctionnée.</w:t>
      </w:r>
    </w:p>
    <w:p w14:paraId="0CF429B0" w14:textId="77777777" w:rsidR="00B00FD0" w:rsidRDefault="00B00FD0" w:rsidP="00B00FD0">
      <w:pPr>
        <w:pStyle w:val="NormalWeb"/>
      </w:pPr>
      <w:r>
        <w:rPr>
          <w:rStyle w:val="Accentuation"/>
        </w:rPr>
        <w:t xml:space="preserve"> L’ensemble de ces dispositions étant liées, le Conseil d’Etat annule dans le même temps le II. </w:t>
      </w:r>
      <w:proofErr w:type="gramStart"/>
      <w:r>
        <w:rPr>
          <w:rStyle w:val="Accentuation"/>
        </w:rPr>
        <w:t>de</w:t>
      </w:r>
      <w:proofErr w:type="gramEnd"/>
      <w:r>
        <w:rPr>
          <w:rStyle w:val="Accentuation"/>
        </w:rPr>
        <w:t xml:space="preserve"> l’article R 214-109 du Code de l’environnement qui concernait la remise en état des barrage de prise d’eau fondés en titre.</w:t>
      </w:r>
    </w:p>
    <w:p w14:paraId="0DF00F0C" w14:textId="77777777" w:rsidR="00B00FD0" w:rsidRDefault="00B00FD0" w:rsidP="00B00FD0">
      <w:pPr>
        <w:pStyle w:val="NormalWeb"/>
      </w:pPr>
      <w:r>
        <w:rPr>
          <w:rStyle w:val="Accentuation"/>
        </w:rPr>
        <w:t> </w:t>
      </w:r>
    </w:p>
    <w:p w14:paraId="4D7DE51F" w14:textId="77777777" w:rsidR="00B00FD0" w:rsidRDefault="00B00FD0" w:rsidP="00B00FD0">
      <w:pPr>
        <w:pStyle w:val="NormalWeb"/>
      </w:pPr>
      <w:r>
        <w:rPr>
          <w:rStyle w:val="Accentuation"/>
        </w:rPr>
        <w:t> Cette décision, qui est sans recours, est d’application immédiate.</w:t>
      </w:r>
    </w:p>
    <w:p w14:paraId="71CBC514" w14:textId="77777777" w:rsidR="00B00FD0" w:rsidRDefault="00B00FD0" w:rsidP="00B00FD0">
      <w:pPr>
        <w:pStyle w:val="NormalWeb"/>
      </w:pPr>
      <w:r>
        <w:rPr>
          <w:rStyle w:val="Accentuation"/>
        </w:rPr>
        <w:t> Dans ces conditions :</w:t>
      </w:r>
    </w:p>
    <w:p w14:paraId="315482E8" w14:textId="77777777" w:rsidR="00B00FD0" w:rsidRDefault="00B00FD0" w:rsidP="00B00FD0">
      <w:pPr>
        <w:pStyle w:val="NormalWeb"/>
      </w:pPr>
      <w:r>
        <w:rPr>
          <w:rStyle w:val="Accentuation"/>
        </w:rPr>
        <w:t> -Les dispositions de l’article R 214-109 du Code de l’environnement modifiées par le décret du 3 août 2019 cessent de produire effet à compter de ce jour.</w:t>
      </w:r>
    </w:p>
    <w:p w14:paraId="122ED4D4" w14:textId="77777777" w:rsidR="00B00FD0" w:rsidRDefault="00B00FD0" w:rsidP="00B00FD0">
      <w:pPr>
        <w:pStyle w:val="NormalWeb"/>
      </w:pPr>
      <w:r>
        <w:rPr>
          <w:rStyle w:val="Accentuation"/>
        </w:rPr>
        <w:t> -Toute décision administrative fondée sur les dispositions de l’article R 214-109 du Code de l’environnement en vigueur depuis le 3 août 2019 et jusqu’à ce jour est entachée d’illégalité, son annulation pouvant être sollicitée devant le juge administratif si le délai de contestation court toujours ou encore si un recours a déjà été engagé.</w:t>
      </w:r>
    </w:p>
    <w:p w14:paraId="29A774A0" w14:textId="77777777" w:rsidR="00B00FD0" w:rsidRDefault="00B00FD0" w:rsidP="00B00FD0">
      <w:pPr>
        <w:pStyle w:val="NormalWeb"/>
      </w:pPr>
      <w:r>
        <w:rPr>
          <w:rStyle w:val="Accentuation"/>
        </w:rPr>
        <w:t>Dans les autres cas (délai de recours dépassé ou recours déjà jugé définitivement), il est possible de saisir le Préfet d’une demande de retrait de la décision qui serait fondée sur ces dispositions au visa de l’article L 243-2 du Code des relations entre le public et l’administration.</w:t>
      </w:r>
    </w:p>
    <w:p w14:paraId="1831ED07" w14:textId="77777777" w:rsidR="00B00FD0" w:rsidRDefault="00B00FD0" w:rsidP="00B00FD0">
      <w:pPr>
        <w:pStyle w:val="NormalWeb"/>
      </w:pPr>
      <w:r>
        <w:rPr>
          <w:rStyle w:val="Accentuation"/>
        </w:rPr>
        <w:t> -Il est à nouveau possible de déposer une demande d’autorisation environnementale pour la création et/ou la modification d’un ouvrage hydraulique sur un cours d’eau classé en Liste 1, sous réserve que le projet ne soit pas de nature à constituer un obstacle à la continuité écologique, cette existence d’un obstacle à la continuité écologique devant à nouveau donner lieu à une appréciation au cas par cas.</w:t>
      </w:r>
    </w:p>
    <w:p w14:paraId="4E5EE349" w14:textId="77777777" w:rsidR="00B00FD0" w:rsidRDefault="00B00FD0" w:rsidP="00B00FD0">
      <w:pPr>
        <w:pStyle w:val="NormalWeb"/>
      </w:pPr>
      <w:r>
        <w:rPr>
          <w:rStyle w:val="Accentuation"/>
        </w:rPr>
        <w:t> Pour conclure, il est précisé que le recours formé par la Fédération Nationale de Pêche ainsi que France Nature Environnement, qui visait l’article 2 du décret (création d’un nouveau cas de cours d’eau atypique pour les cours d’eau de type méditerranéens) est quant à lui rejeté.</w:t>
      </w:r>
    </w:p>
    <w:p w14:paraId="294234C6" w14:textId="77777777" w:rsidR="00B00FD0" w:rsidRDefault="00B00FD0" w:rsidP="00B00FD0">
      <w:pPr>
        <w:pStyle w:val="NormalWeb"/>
      </w:pPr>
      <w:r>
        <w:rPr>
          <w:rStyle w:val="Accentuation"/>
        </w:rPr>
        <w:t xml:space="preserve"> Cette décision sera prochainement accessible, notamment, sur </w:t>
      </w:r>
      <w:proofErr w:type="spellStart"/>
      <w:r>
        <w:rPr>
          <w:rStyle w:val="Accentuation"/>
        </w:rPr>
        <w:t>Legifrance</w:t>
      </w:r>
      <w:proofErr w:type="spellEnd"/>
      <w:r>
        <w:rPr>
          <w:rStyle w:val="Accentuation"/>
        </w:rPr>
        <w:t xml:space="preserve"> ainsi que sur le site internet du Cabinet.</w:t>
      </w:r>
    </w:p>
    <w:p w14:paraId="6BEF4DD1" w14:textId="77777777" w:rsidR="00B00FD0" w:rsidRDefault="00B00FD0" w:rsidP="00B00FD0">
      <w:pPr>
        <w:pStyle w:val="NormalWeb"/>
      </w:pPr>
      <w:r>
        <w:rPr>
          <w:rStyle w:val="Accentuation"/>
        </w:rPr>
        <w:t> </w:t>
      </w:r>
      <w:r>
        <w:rPr>
          <w:rStyle w:val="lev"/>
          <w:i/>
          <w:iCs/>
        </w:rPr>
        <w:t>Jean-François REMY</w:t>
      </w:r>
    </w:p>
    <w:p w14:paraId="17AD38B0" w14:textId="25C4C033" w:rsidR="00CB374D" w:rsidRDefault="00B00FD0" w:rsidP="004B448F">
      <w:pPr>
        <w:pStyle w:val="NormalWeb"/>
      </w:pPr>
      <w:r>
        <w:rPr>
          <w:rStyle w:val="Accentuation"/>
        </w:rPr>
        <w:t>Avocat membre associé</w:t>
      </w:r>
    </w:p>
    <w:sectPr w:rsidR="00CB374D" w:rsidSect="004B448F">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D0"/>
    <w:rsid w:val="004B448F"/>
    <w:rsid w:val="00B00FD0"/>
    <w:rsid w:val="00CB37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04363"/>
  <w15:chartTrackingRefBased/>
  <w15:docId w15:val="{95D133F4-0C18-45BF-B825-BD70E8BB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00FD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00FD0"/>
    <w:rPr>
      <w:b/>
      <w:bCs/>
    </w:rPr>
  </w:style>
  <w:style w:type="character" w:styleId="Accentuation">
    <w:name w:val="Emphasis"/>
    <w:basedOn w:val="Policepardfaut"/>
    <w:uiPriority w:val="20"/>
    <w:qFormat/>
    <w:rsid w:val="00B00F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23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831</Words>
  <Characters>4576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Barré</dc:creator>
  <cp:keywords/>
  <dc:description/>
  <cp:lastModifiedBy>Lionel Barré</cp:lastModifiedBy>
  <cp:revision>1</cp:revision>
  <dcterms:created xsi:type="dcterms:W3CDTF">2021-02-16T16:31:00Z</dcterms:created>
  <dcterms:modified xsi:type="dcterms:W3CDTF">2021-02-16T17:24:00Z</dcterms:modified>
</cp:coreProperties>
</file>